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  <w:szCs w:val="28"/>
        </w:rPr>
        <w:t xml:space="preserve">ČLÁNEK X — ROZHODOVÁNÍ MIMO ZASEDÁNÍ (PER ROLLAM)</w:t>
      </w:r>
    </w:p>
    <w:p>
      <w:pPr>
        <w:jc w:val="center"/>
        <w:spacing w:after="320"/>
      </w:pPr>
      <w:r>
        <w:rPr>
          <w:i/>
        </w:rPr>
        <w:t xml:space="preserve">vzor ustanovení stanov společenství vlastníků — podklad k projednání s advokátem či notářem</w:t>
      </w:r>
    </w:p>
    <w:p>
      <w:r>
        <w:rPr>
          <w:b/>
        </w:rPr>
        <w:t xml:space="preserve">1. </w:t>
      </w:r>
      <w:r>
        <w:t xml:space="preserve">Vlastníci jednotek mohou rozhodovat mimo zasedání shromáždění (per rollam) o všech záležitostech, které náležejí do působnosti shromáždění, nevylučuje-li to zákon.</w:t>
      </w:r>
    </w:p>
    <w:p>
      <w:r>
        <w:rPr>
          <w:b/>
        </w:rPr>
        <w:t xml:space="preserve">2. </w:t>
      </w:r>
      <w:r>
        <w:t xml:space="preserve">Rozhodnutí mimo zasedání navrhuje statutární orgán. Návrh musí obsahovat návrh usnesení, podklady potřebné pro jeho posouzení nebo údaj, kde jsou uveřejněny, a údaj o lhůtě, ve které se má vlastník jednotky vyjádřit.</w:t>
      </w:r>
    </w:p>
    <w:p>
      <w:r>
        <w:rPr>
          <w:b/>
        </w:rPr>
        <w:t xml:space="preserve">3. </w:t>
      </w:r>
      <w:r>
        <w:t xml:space="preserve">Lhůta pro vyjádření vlastníka jednotky činí 15 dnů od doručení návrhu.</w:t>
      </w:r>
    </w:p>
    <w:p>
      <w:r>
        <w:rPr>
          <w:b/>
        </w:rPr>
        <w:t xml:space="preserve">4. </w:t>
      </w:r>
      <w:r>
        <w:t xml:space="preserve">Návrh se vlastníkům doručuje osobně proti podpisu, provozovatelem poštovních služeb na doručovací adresu vedenou v seznamu vlastníků, nebo elektronicky na e-mailovou adresu, kterou vlastník společenství pro tento účel sdělil.</w:t>
      </w:r>
    </w:p>
    <w:p>
      <w:r>
        <w:rPr>
          <w:b/>
        </w:rPr>
        <w:t xml:space="preserve">5. </w:t>
      </w:r>
      <w:r>
        <w:t xml:space="preserve">Vyjádření vlastníka musí splňovat náležitosti § 1212 občanského zákoníku. Připouští se rovněž vyjádření v elektronické podobě podepsané způsobem, s nímž jiný právní předpis spojuje účinky vlastnoručního podpisu, případně učiněné prostřednictvím elektronické platformy umožňující ověření totožnosti hlasujícího vlastníka.</w:t>
      </w:r>
    </w:p>
    <w:p>
      <w:r>
        <w:rPr>
          <w:b/>
        </w:rPr>
        <w:t xml:space="preserve">6. </w:t>
      </w:r>
      <w:r>
        <w:t xml:space="preserve">Statutární orgán oznámí vlastníkům jednotek v písemné formě, popřípadě elektronicky dle odst. 4, výsledek hlasování bez zbytečného odkladu; bylo-li usnesení přijato, oznámí jim i celý obsah přijatého usnesení.</w:t>
      </w:r>
    </w:p>
    <w:p>
      <w:pPr>
        <w:spacing w:after="480"/>
      </w:pPr>
      <w:r>
        <w:rPr>
          <w:i/>
        </w:rPr>
        <w:t xml:space="preserve">Poznámka: číslování článku přizpůsobte struktuře vašich stanov. Vzor má informativní povahu a nenahrazuje právní poradenství.</w:t>
      </w:r>
    </w:p>
    <w:sectPr>
      <w:pgSz w:w="11906" w:h="16838"/>
      <w:pgMar w:top="1250" w:right="1250" w:bottom="1250" w:left="12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cs-CZ"/>
      </w:rPr>
    </w:rPrDefault>
    <w:pPrDefault>
      <w:pPr>
        <w:spacing w:after="16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